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F01" w:rsidRDefault="009566FB" w:rsidP="00EB5185">
      <w:pPr>
        <w:pStyle w:val="30"/>
        <w:shd w:val="clear" w:color="auto" w:fill="auto"/>
        <w:ind w:firstLine="360"/>
        <w:jc w:val="center"/>
      </w:pPr>
      <w:r>
        <w:t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</w:t>
      </w:r>
    </w:p>
    <w:p w:rsidR="003F2F01" w:rsidRDefault="009566FB" w:rsidP="00EB5185">
      <w:pPr>
        <w:pStyle w:val="30"/>
        <w:shd w:val="clear" w:color="auto" w:fill="auto"/>
        <w:jc w:val="center"/>
      </w:pPr>
      <w:r>
        <w:t>в 2023 году (за отчетный 2022 год)</w:t>
      </w:r>
    </w:p>
    <w:p w:rsidR="00EB5185" w:rsidRDefault="00EB5185">
      <w:pPr>
        <w:pStyle w:val="20"/>
        <w:shd w:val="clear" w:color="auto" w:fill="auto"/>
        <w:ind w:firstLine="360"/>
        <w:jc w:val="left"/>
      </w:pPr>
    </w:p>
    <w:p w:rsidR="003F2F01" w:rsidRDefault="009566FB" w:rsidP="00EB5185">
      <w:pPr>
        <w:pStyle w:val="20"/>
        <w:shd w:val="clear" w:color="auto" w:fill="auto"/>
        <w:ind w:firstLine="709"/>
      </w:pPr>
      <w:r>
        <w:t xml:space="preserve">В течение последних </w:t>
      </w:r>
      <w:r>
        <w:t>лет является устоявшейся практика подготовки Министерством труда и социальной защиты Российской Федерации ежегодно обновляемых Методических рекомендаций по вопросам представления сведений о доходах, расходах, об имуществе и обязательствах имущественного ха</w:t>
      </w:r>
      <w:r>
        <w:t>рактера и заполнения соответствующей формы справки (далее - Методические рекомендации, сведения соответственно), размещения их на официальном сайте Минтруда России.</w:t>
      </w:r>
    </w:p>
    <w:p w:rsidR="003F2F01" w:rsidRDefault="009566FB" w:rsidP="00EB5185">
      <w:pPr>
        <w:pStyle w:val="20"/>
        <w:shd w:val="clear" w:color="auto" w:fill="auto"/>
        <w:ind w:firstLine="709"/>
      </w:pPr>
      <w:r>
        <w:t>Методические рекомендации для применения в ходе декларационной кампании 2023 года (за отчет</w:t>
      </w:r>
      <w:r>
        <w:t>ный 2022 год) подготовлены Министерством при участии Администрации Президента 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3F2F01" w:rsidRDefault="009566FB" w:rsidP="00EB5185">
      <w:pPr>
        <w:pStyle w:val="20"/>
        <w:shd w:val="clear" w:color="auto" w:fill="auto"/>
        <w:ind w:firstLine="709"/>
      </w:pPr>
      <w:r>
        <w:t>В ходе ис</w:t>
      </w:r>
      <w:r>
        <w:t>пользования в работе указанных Методических рекомендаций предлагаем обратить внимание на следующее.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19"/>
        </w:tabs>
        <w:ind w:firstLine="709"/>
      </w:pPr>
      <w:r>
        <w:t xml:space="preserve">Методические рекомендации учитывают особенности представления сведений лицами, замещающими публичные должности на территориях Донецкой Народной Республики, </w:t>
      </w:r>
      <w:r>
        <w:t>Луганской Народной Республики, Запорожской области и Херсонской области, а также отдельными категориями лиц в связи с проведением специальной военной операции.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19"/>
        </w:tabs>
        <w:ind w:firstLine="709"/>
      </w:pPr>
      <w:r>
        <w:t>В Методических рекомендациях предлагается определенная иерархия организации работы по оказанию к</w:t>
      </w:r>
      <w:r>
        <w:t>онсультативной и методической помощи в представлении сведений.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19"/>
        </w:tabs>
        <w:ind w:firstLine="709"/>
      </w:pPr>
      <w:r>
        <w:t>В пункте 20 Методических рекомендаций подчеркнуто, что квалифицирующим признаком для возникновения обязанности представить сведения в рамках декларационной кампании, по общему правилу, являются</w:t>
      </w:r>
      <w:r>
        <w:t xml:space="preserve"> правоотношения, имеющиеся на 31 декабря отчетного года.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19"/>
        </w:tabs>
        <w:ind w:firstLine="709"/>
      </w:pPr>
      <w:r>
        <w:t xml:space="preserve">Отмечено, что уточненные сведения за предыдущие декларационные кампании не представляются, но в рамках текущей декларационной кампании к сведениям могут быть приложены применимые пояснения (пункт 37 </w:t>
      </w:r>
      <w:r>
        <w:t>Методических рекомендаций).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19"/>
        </w:tabs>
        <w:ind w:firstLine="709"/>
      </w:pPr>
      <w:r>
        <w:t>В пункте 44 Методических рекомендаций отдельно указаны полномочия субъектов Российской Федерации и муниципальных образований в регулировании вопросов невозможности представления сведений отдельными категориями лиц.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19"/>
        </w:tabs>
        <w:ind w:firstLine="709"/>
      </w:pPr>
      <w:r>
        <w:t>Указана необх</w:t>
      </w:r>
      <w:r>
        <w:t>одимость оценки использования актуальной версии специального программного обеспечения "Справки БК" на дату представления сведений.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19"/>
        </w:tabs>
        <w:ind w:firstLine="709"/>
      </w:pPr>
      <w:r>
        <w:t xml:space="preserve">В пункте 53 Методических рекомендаций обращено внимание на ситуации, получения денежных средств от реализации товаров (работ </w:t>
      </w:r>
      <w:r>
        <w:t>или услуг) и одновременном их распоряжении в пользу третьих лиц.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06"/>
        </w:tabs>
        <w:ind w:firstLine="709"/>
      </w:pPr>
      <w:r>
        <w:t xml:space="preserve">Актуализирован перечень выплат, которые могут быть признаны доходом для целей законодательства Российской Федерации о противодействии коррупции, а также перечень денежных средств, которые не </w:t>
      </w:r>
      <w:r>
        <w:t>являются таким доходом.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06"/>
        </w:tabs>
        <w:ind w:firstLine="709"/>
      </w:pPr>
      <w:r>
        <w:t>Учитывая возникающие на практике вопросы повторно отмечаем, что доход от операций с ценными бумагами выражается в величине суммы финансового результата.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06"/>
        </w:tabs>
        <w:ind w:firstLine="709"/>
      </w:pPr>
      <w:r>
        <w:t>Уточнены положения Методических рекомендаций, касающиеся цифровых финансовых ин</w:t>
      </w:r>
      <w:r>
        <w:t>струментов.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06"/>
        </w:tabs>
        <w:ind w:firstLine="709"/>
      </w:pPr>
      <w:r>
        <w:t>В пункте 181 Методических рекомендаций акцентировано внимание на особенностях владения инвестиционными паями паевых инвестиционных фондов.</w:t>
      </w:r>
    </w:p>
    <w:p w:rsidR="003F2F01" w:rsidRDefault="009566FB" w:rsidP="00EB5185">
      <w:pPr>
        <w:pStyle w:val="20"/>
        <w:numPr>
          <w:ilvl w:val="0"/>
          <w:numId w:val="1"/>
        </w:numPr>
        <w:shd w:val="clear" w:color="auto" w:fill="auto"/>
        <w:tabs>
          <w:tab w:val="left" w:pos="1406"/>
        </w:tabs>
        <w:ind w:firstLine="709"/>
      </w:pPr>
      <w:r>
        <w:t>Положения Методических рекомендаций в целом актуализированы с учетом изменений нормативных правовых актов</w:t>
      </w:r>
      <w:r>
        <w:t xml:space="preserve"> Российской Федерации.</w:t>
      </w:r>
    </w:p>
    <w:p w:rsidR="003F2F01" w:rsidRDefault="003F2F01" w:rsidP="00EB5185">
      <w:pPr>
        <w:pStyle w:val="40"/>
        <w:shd w:val="clear" w:color="auto" w:fill="auto"/>
        <w:spacing w:line="220" w:lineRule="exact"/>
        <w:ind w:firstLine="709"/>
        <w:jc w:val="both"/>
      </w:pPr>
    </w:p>
    <w:p w:rsidR="00EB5185" w:rsidRDefault="00EB5185">
      <w:pPr>
        <w:pStyle w:val="40"/>
        <w:shd w:val="clear" w:color="auto" w:fill="auto"/>
        <w:spacing w:line="220" w:lineRule="exact"/>
        <w:ind w:firstLine="709"/>
        <w:jc w:val="both"/>
      </w:pPr>
    </w:p>
    <w:sectPr w:rsidR="00EB5185">
      <w:headerReference w:type="default" r:id="rId7"/>
      <w:pgSz w:w="11909" w:h="16840"/>
      <w:pgMar w:top="1088" w:right="526" w:bottom="1430" w:left="11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6FB" w:rsidRDefault="009566FB">
      <w:r>
        <w:separator/>
      </w:r>
    </w:p>
  </w:endnote>
  <w:endnote w:type="continuationSeparator" w:id="0">
    <w:p w:rsidR="009566FB" w:rsidRDefault="00956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6FB" w:rsidRDefault="009566FB"/>
  </w:footnote>
  <w:footnote w:type="continuationSeparator" w:id="0">
    <w:p w:rsidR="009566FB" w:rsidRDefault="009566F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2F01" w:rsidRDefault="009566F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4.2pt;margin-top:34.25pt;width:6.55pt;height:14.9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3F2F01" w:rsidRDefault="009566FB" w:rsidP="00EB5185">
                <w:pPr>
                  <w:pStyle w:val="a5"/>
                  <w:shd w:val="clear" w:color="auto" w:fill="auto"/>
                  <w:spacing w:line="240" w:lineRule="auto"/>
                  <w:jc w:val="center"/>
                </w:pPr>
                <w:r>
                  <w:rPr>
                    <w:rStyle w:val="a6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61FB5"/>
    <w:multiLevelType w:val="multilevel"/>
    <w:tmpl w:val="2AB00C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3F2F01"/>
    <w:rsid w:val="003F2F01"/>
    <w:rsid w:val="009566FB"/>
    <w:rsid w:val="00EB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BA233E8-4301-4F5A-BDA4-6068F09C2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Verdana" w:eastAsia="Verdana" w:hAnsi="Verdana" w:cs="Verdana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17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Verdana" w:eastAsia="Verdana" w:hAnsi="Verdana" w:cs="Verdana"/>
      <w:i/>
      <w:iCs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EB51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5185"/>
    <w:rPr>
      <w:color w:val="000000"/>
    </w:rPr>
  </w:style>
  <w:style w:type="paragraph" w:styleId="a9">
    <w:name w:val="footer"/>
    <w:basedOn w:val="a"/>
    <w:link w:val="aa"/>
    <w:uiPriority w:val="99"/>
    <w:unhideWhenUsed/>
    <w:rsid w:val="00EB51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518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2023-01-09T13:10:00Z</dcterms:created>
</cp:coreProperties>
</file>